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49" w:rsidRDefault="008F6149">
      <w:pPr>
        <w:pStyle w:val="ConsPlusNormal"/>
        <w:jc w:val="center"/>
        <w:outlineLvl w:val="0"/>
      </w:pPr>
      <w:r w:rsidRPr="00E2439A">
        <w:rPr>
          <w:highlight w:val="yellow"/>
        </w:rPr>
        <w:t>Состав отчетности НКО</w:t>
      </w:r>
    </w:p>
    <w:p w:rsidR="008F6149" w:rsidRDefault="008F6149">
      <w:pPr>
        <w:pStyle w:val="ConsPlusNormal"/>
        <w:ind w:firstLine="540"/>
        <w:jc w:val="both"/>
      </w:pPr>
    </w:p>
    <w:p w:rsidR="008F6149" w:rsidRDefault="008F6149">
      <w:pPr>
        <w:pStyle w:val="ConsPlusNormal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ч. 2 ст. 14</w:t>
        </w:r>
      </w:hyperlink>
      <w:r>
        <w:t xml:space="preserve"> Закона N 402-ФЗ годовая бухгалтерская (финансовая) отчетность НКО, за исключением случаев, установленных федеральными законами, состоит из бухгалтерского </w:t>
      </w:r>
      <w:hyperlink r:id="rId6" w:history="1">
        <w:r>
          <w:rPr>
            <w:color w:val="0000FF"/>
          </w:rPr>
          <w:t>баланса</w:t>
        </w:r>
      </w:hyperlink>
      <w:r>
        <w:t xml:space="preserve">, </w:t>
      </w:r>
      <w:hyperlink r:id="rId7" w:history="1">
        <w:r>
          <w:rPr>
            <w:color w:val="0000FF"/>
          </w:rPr>
          <w:t>отчета</w:t>
        </w:r>
      </w:hyperlink>
      <w:r>
        <w:t xml:space="preserve"> о целевом использовании средств и приложений к ним.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Минфина России от 06.04.2015 N 57н были внесены соответствующие изменения в </w:t>
      </w:r>
      <w:hyperlink r:id="rId9" w:history="1">
        <w:r>
          <w:rPr>
            <w:color w:val="0000FF"/>
          </w:rPr>
          <w:t>Приказ</w:t>
        </w:r>
      </w:hyperlink>
      <w:r>
        <w:t xml:space="preserve"> Минфина России от 02.07.2010 N 66н, которым утверждены формы бухгалтерской отчетности.</w:t>
      </w:r>
    </w:p>
    <w:p w:rsidR="008F6149" w:rsidRDefault="008F6149">
      <w:pPr>
        <w:pStyle w:val="ConsPlusNormal"/>
        <w:ind w:firstLine="540"/>
        <w:jc w:val="both"/>
      </w:pPr>
      <w:r>
        <w:t>Приложениями к бухгалтерской отчетности НКО могут быть следующие формы.</w:t>
      </w:r>
    </w:p>
    <w:p w:rsidR="008F6149" w:rsidRDefault="008F6149">
      <w:pPr>
        <w:pStyle w:val="ConsPlusNormal"/>
        <w:ind w:firstLine="540"/>
        <w:jc w:val="both"/>
      </w:pPr>
      <w:r>
        <w:t xml:space="preserve">Во-первых, это сведения об отдельных доходах и расходах. </w:t>
      </w:r>
      <w:proofErr w:type="gramStart"/>
      <w:r>
        <w:t xml:space="preserve">В </w:t>
      </w:r>
      <w:hyperlink r:id="rId10" w:history="1">
        <w:r>
          <w:rPr>
            <w:color w:val="0000FF"/>
          </w:rPr>
          <w:t>п. 2.1</w:t>
        </w:r>
      </w:hyperlink>
      <w:r>
        <w:t xml:space="preserve"> Информации N ПЗ-1/2015 Минфин России пояснил, что эти данные раскрываются, когда показатель признанного (полученного) НКО дохода существенен, раскрытие сведений о прибыли (убытках) в </w:t>
      </w:r>
      <w:hyperlink r:id="rId11" w:history="1">
        <w:r>
          <w:rPr>
            <w:color w:val="0000FF"/>
          </w:rPr>
          <w:t>отчете</w:t>
        </w:r>
      </w:hyperlink>
      <w:r>
        <w:t xml:space="preserve"> о целевом использовании средств недостаточно, без знания о показателе полученного дохода заинтересованными пользователями невозможна оценка финансового положения НКО и финансовых результатов ее деятельности.</w:t>
      </w:r>
      <w:proofErr w:type="gramEnd"/>
      <w:r>
        <w:t xml:space="preserve"> В силу </w:t>
      </w:r>
      <w:hyperlink r:id="rId12" w:history="1">
        <w:r>
          <w:rPr>
            <w:color w:val="0000FF"/>
          </w:rPr>
          <w:t>п. 20</w:t>
        </w:r>
      </w:hyperlink>
      <w:r>
        <w:t xml:space="preserve"> Информации N ПЗ-1/2015 в зависимости от количества показателей эти данные могут быть представлены в виде пояснений либо в виде отдельного отчета (применительно к структуре и составу показателей отчета о финансовых результатах, </w:t>
      </w:r>
      <w:hyperlink r:id="rId13" w:history="1">
        <w:r>
          <w:rPr>
            <w:color w:val="0000FF"/>
          </w:rPr>
          <w:t>форма</w:t>
        </w:r>
      </w:hyperlink>
      <w:r>
        <w:t xml:space="preserve"> которого приведена в Приложении 1 к Приказу Минфина России N 66н). Кстати, именно такие рекомендации финансисты давали еще </w:t>
      </w:r>
      <w:proofErr w:type="gramStart"/>
      <w:r>
        <w:t>в начале</w:t>
      </w:r>
      <w:proofErr w:type="gramEnd"/>
      <w:r>
        <w:t xml:space="preserve"> 2015 г. в </w:t>
      </w:r>
      <w:hyperlink r:id="rId14" w:history="1">
        <w:r>
          <w:rPr>
            <w:color w:val="0000FF"/>
          </w:rPr>
          <w:t>Приложении</w:t>
        </w:r>
      </w:hyperlink>
      <w:r>
        <w:t xml:space="preserve"> к Письму от 06.02.2015 N 07-04-06/5027, направленном аудиторским организациям для применения при проверке бухгалтерской отчетности за 2014 г.</w:t>
      </w:r>
    </w:p>
    <w:p w:rsidR="008F6149" w:rsidRDefault="008F6149">
      <w:pPr>
        <w:pStyle w:val="ConsPlusNormal"/>
        <w:ind w:firstLine="540"/>
        <w:jc w:val="both"/>
      </w:pPr>
      <w:r w:rsidRPr="00E2439A">
        <w:rPr>
          <w:highlight w:val="yellow"/>
        </w:rPr>
        <w:t xml:space="preserve">Во-вторых, приложением к бухгалтерской отчетности НКО может быть </w:t>
      </w:r>
      <w:hyperlink r:id="rId15" w:history="1">
        <w:r w:rsidRPr="00E2439A">
          <w:rPr>
            <w:color w:val="0000FF"/>
            <w:highlight w:val="yellow"/>
          </w:rPr>
          <w:t>отчет</w:t>
        </w:r>
      </w:hyperlink>
      <w:r w:rsidRPr="00E2439A">
        <w:rPr>
          <w:highlight w:val="yellow"/>
        </w:rPr>
        <w:t xml:space="preserve"> о движении денежных средств. Данный отчет формируется, если это необходимо в силу требований законодательства, а </w:t>
      </w:r>
      <w:proofErr w:type="gramStart"/>
      <w:r w:rsidRPr="00E2439A">
        <w:rPr>
          <w:highlight w:val="yellow"/>
        </w:rPr>
        <w:t>также</w:t>
      </w:r>
      <w:proofErr w:type="gramEnd"/>
      <w:r w:rsidRPr="00E2439A">
        <w:rPr>
          <w:highlight w:val="yellow"/>
        </w:rPr>
        <w:t xml:space="preserve"> если сама НКО приняла решение о его представлении и (или) публикации. В общем же случае отчет о движении денежных средств НКО не составляют. При формировании отчета следует учитывать особенности классификации денежных потоков НКО.</w:t>
      </w:r>
      <w:bookmarkStart w:id="0" w:name="_GoBack"/>
      <w:bookmarkEnd w:id="0"/>
    </w:p>
    <w:p w:rsidR="008F6149" w:rsidRDefault="008F6149">
      <w:pPr>
        <w:pStyle w:val="ConsPlusNormal"/>
        <w:ind w:firstLine="540"/>
        <w:jc w:val="both"/>
      </w:pPr>
      <w:r>
        <w:t>Информацию о наличии и изменениях уставного (складочного) капитала, резерва и других составляющих капитала НКО не раскрывает.</w:t>
      </w:r>
    </w:p>
    <w:p w:rsidR="008F6149" w:rsidRDefault="008F6149">
      <w:pPr>
        <w:pStyle w:val="ConsPlusNormal"/>
        <w:ind w:firstLine="540"/>
        <w:jc w:val="both"/>
      </w:pPr>
      <w:r>
        <w:t xml:space="preserve">Дополнительно отметим, в </w:t>
      </w:r>
      <w:hyperlink r:id="rId16" w:history="1">
        <w:r>
          <w:rPr>
            <w:color w:val="0000FF"/>
          </w:rPr>
          <w:t>п. 39</w:t>
        </w:r>
      </w:hyperlink>
      <w:r>
        <w:t xml:space="preserve"> Информации N ПЗ-1/2015 Минфин России сообщил, что НКО должна раскрывать в пояснениях к балансу и отчету о целевом использовании сре</w:t>
      </w:r>
      <w:proofErr w:type="gramStart"/>
      <w:r>
        <w:t>дств сл</w:t>
      </w:r>
      <w:proofErr w:type="gramEnd"/>
      <w:r>
        <w:t>едующие дополнительные данные:</w:t>
      </w:r>
    </w:p>
    <w:p w:rsidR="008F6149" w:rsidRDefault="008F6149">
      <w:pPr>
        <w:pStyle w:val="ConsPlusNormal"/>
        <w:ind w:firstLine="540"/>
        <w:jc w:val="both"/>
      </w:pPr>
      <w:r>
        <w:t xml:space="preserve">- о наличии на начало и конец отчетного периода и движении в течение отчетного периода отдельных видов нематериальных активов, основных средств (включая арендованные), финансовых вложений, дебиторской задолженности, кредиторской задолженности, оценочных обязательств, условных обязательств и условных активов (если, конечно, она не применяет упрощенные способы ведения бухгалтерского учета и не </w:t>
      </w:r>
      <w:proofErr w:type="gramStart"/>
      <w:r>
        <w:t>решила</w:t>
      </w:r>
      <w:proofErr w:type="gramEnd"/>
      <w:r>
        <w:t xml:space="preserve"> не отражать оценочные обязательства в учете);</w:t>
      </w:r>
    </w:p>
    <w:p w:rsidR="008F6149" w:rsidRDefault="008F6149">
      <w:pPr>
        <w:pStyle w:val="ConsPlusNormal"/>
        <w:ind w:firstLine="540"/>
        <w:jc w:val="both"/>
      </w:pPr>
      <w:r>
        <w:t>- о любых выданных и полученных обеспечениях обязательств и платежей;</w:t>
      </w:r>
    </w:p>
    <w:p w:rsidR="008F6149" w:rsidRDefault="008F6149">
      <w:pPr>
        <w:pStyle w:val="ConsPlusNormal"/>
        <w:ind w:firstLine="540"/>
        <w:jc w:val="both"/>
      </w:pPr>
      <w:r>
        <w:t>- о событиях после отчетной даты;</w:t>
      </w:r>
    </w:p>
    <w:p w:rsidR="008F6149" w:rsidRDefault="008F6149">
      <w:pPr>
        <w:pStyle w:val="ConsPlusNormal"/>
        <w:ind w:firstLine="540"/>
        <w:jc w:val="both"/>
      </w:pPr>
      <w:r>
        <w:t>- о прекращенных операциях;</w:t>
      </w:r>
    </w:p>
    <w:p w:rsidR="008F6149" w:rsidRDefault="008F6149">
      <w:pPr>
        <w:pStyle w:val="ConsPlusNormal"/>
        <w:ind w:firstLine="540"/>
        <w:jc w:val="both"/>
      </w:pPr>
      <w:r>
        <w:t>- о связанных сторонах;</w:t>
      </w:r>
    </w:p>
    <w:p w:rsidR="008F6149" w:rsidRDefault="008F6149">
      <w:pPr>
        <w:pStyle w:val="ConsPlusNormal"/>
        <w:ind w:firstLine="540"/>
        <w:jc w:val="both"/>
      </w:pPr>
      <w:r>
        <w:t>- о государственной помощи.</w:t>
      </w:r>
    </w:p>
    <w:p w:rsidR="008F6149" w:rsidRDefault="008F6149">
      <w:pPr>
        <w:pStyle w:val="ConsPlusNormal"/>
      </w:pPr>
      <w:hyperlink r:id="rId17" w:history="1">
        <w:r>
          <w:rPr>
            <w:i/>
            <w:color w:val="0000FF"/>
          </w:rPr>
          <w:br/>
          <w:t>Статья: Отчетность некоммерческих организаций: рекомендации Минфина (Емельянова Е.В.) ("Жилищно-коммунальное хозяйство: бухгалтерский учет и налогообложение", 2016, N 1)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D14CE0" w:rsidRDefault="00E2439A"/>
    <w:sectPr w:rsidR="00D14CE0" w:rsidSect="00945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49"/>
    <w:rsid w:val="00041079"/>
    <w:rsid w:val="008F6149"/>
    <w:rsid w:val="00A939E7"/>
    <w:rsid w:val="00E2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BE91C7BC02660FB415179C2D5CBF94B915F18AC14FBC26AEA5EE7C20AC492C6C33971277F03841d9dEJ" TargetMode="External"/><Relationship Id="rId13" Type="http://schemas.openxmlformats.org/officeDocument/2006/relationships/hyperlink" Target="consultantplus://offline/ref=85BE91C7BC02660FB415179C2D5CBF94B915F188C648BC26AEA5EE7C20AC492C6C33971077dFd6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BE91C7BC02660FB415179C2D5CBF94B915F188C648BC26AEA5EE7C20AC492C6C33971076dFd6J" TargetMode="External"/><Relationship Id="rId12" Type="http://schemas.openxmlformats.org/officeDocument/2006/relationships/hyperlink" Target="consultantplus://offline/ref=85BE91C7BC02660FB415179C2D5CBF94B91BF98AC44ABC26AEA5EE7C20AC492C6C33971277F0384Bd9dDJ" TargetMode="External"/><Relationship Id="rId17" Type="http://schemas.openxmlformats.org/officeDocument/2006/relationships/hyperlink" Target="consultantplus://offline/ref=85BE91C7BC02660FB4150B9F335CBF94B912F18BC249BC26AEA5EE7C20AC492C6C33971277F03843d9d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BE91C7BC02660FB415179C2D5CBF94B91BF98AC44ABC26AEA5EE7C20AC492C6C33971277F03941d9d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BE91C7BC02660FB415179C2D5CBF94B915F188C648BC26AEA5EE7C20AC492C6C33971277F03841d9dCJ" TargetMode="External"/><Relationship Id="rId11" Type="http://schemas.openxmlformats.org/officeDocument/2006/relationships/hyperlink" Target="consultantplus://offline/ref=85BE91C7BC02660FB415179C2D5CBF94B915F188C648BC26AEA5EE7C20AC492C6C33971076dFd6J" TargetMode="External"/><Relationship Id="rId5" Type="http://schemas.openxmlformats.org/officeDocument/2006/relationships/hyperlink" Target="consultantplus://offline/ref=85BE91C7BC02660FB415179C2D5CBF94B915F88FC04ABC26AEA5EE7C20AC492C6C33971277F03940d9dFJ" TargetMode="External"/><Relationship Id="rId15" Type="http://schemas.openxmlformats.org/officeDocument/2006/relationships/hyperlink" Target="consultantplus://offline/ref=85BE91C7BC02660FB415179C2D5CBF94B915F188C648BC26AEA5EE7C20AC492C6C3397d1dAJ" TargetMode="External"/><Relationship Id="rId10" Type="http://schemas.openxmlformats.org/officeDocument/2006/relationships/hyperlink" Target="consultantplus://offline/ref=85BE91C7BC02660FB415179C2D5CBF94B91BF98AC44ABC26AEA5EE7C20AC492C6C33971277F03842d9d8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BE91C7BC02660FB415179C2D5CBF94B915F188C648BC26AEA5EE7C20dAdCJ" TargetMode="External"/><Relationship Id="rId14" Type="http://schemas.openxmlformats.org/officeDocument/2006/relationships/hyperlink" Target="consultantplus://offline/ref=85BE91C7BC02660FB415179C2D5CBF94B910FC8FC349BC26AEA5EE7C20dAd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Флат Виолетта Викторовна</dc:creator>
  <cp:lastModifiedBy>Флат Виолетта Викторовна</cp:lastModifiedBy>
  <cp:revision>2</cp:revision>
  <dcterms:created xsi:type="dcterms:W3CDTF">2017-03-29T09:29:00Z</dcterms:created>
  <dcterms:modified xsi:type="dcterms:W3CDTF">2017-03-29T09:30:00Z</dcterms:modified>
</cp:coreProperties>
</file>